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pPr>
      <w:r>
        <w:t> </w:t>
      </w:r>
    </w:p>
    <w:p>
      <w:pPr>
        <w:jc w:val="center"/>
        <w:rPr>
          <w:sz w:val="30"/>
          <w:szCs w:val="30"/>
        </w:rPr>
      </w:pPr>
      <w:r>
        <w:rPr>
          <w:rStyle w:val="19"/>
          <w:rFonts w:hint="eastAsia" w:ascii="宋体" w:hAnsi="宋体"/>
          <w:b/>
          <w:bCs/>
          <w:sz w:val="30"/>
          <w:szCs w:val="30"/>
        </w:rPr>
        <w:t>Detailed description of Bluetooth transmission</w:t>
      </w:r>
    </w:p>
    <w:p>
      <w:pPr>
        <w:jc w:val="left"/>
      </w:pPr>
      <w:r>
        <w:rPr>
          <w:rStyle w:val="19"/>
          <w:b/>
          <w:bCs/>
          <w:sz w:val="18"/>
          <w:szCs w:val="18"/>
        </w:rPr>
        <w:t>1. At present, our serial instructions support AT instructions and Bluetooth data transmission.</w:t>
      </w:r>
    </w:p>
    <w:p>
      <w:pPr>
        <w:jc w:val="left"/>
      </w:pPr>
      <w:r>
        <w:rPr>
          <w:b/>
          <w:bCs/>
          <w:sz w:val="18"/>
          <w:szCs w:val="18"/>
        </w:rPr>
        <w:t> </w:t>
      </w:r>
    </w:p>
    <w:p>
      <w:pPr>
        <w:jc w:val="left"/>
      </w:pPr>
      <w:r>
        <w:rPr>
          <w:rStyle w:val="19"/>
          <w:b/>
          <w:bCs/>
          <w:sz w:val="18"/>
          <w:szCs w:val="18"/>
        </w:rPr>
        <w:t>2. Bluetooth data transmission exists in the life cycle of the whole chip. As long as the chip initializes Bluetooth, Bluetooth data transmission will always run in the background, even if it is playing TF card or connecting to PC, Bluetooth data transmission has always existed.</w:t>
      </w:r>
    </w:p>
    <w:p>
      <w:pPr>
        <w:jc w:val="left"/>
      </w:pPr>
      <w:r>
        <w:rPr>
          <w:sz w:val="18"/>
          <w:szCs w:val="18"/>
        </w:rPr>
        <w:t> </w:t>
      </w:r>
    </w:p>
    <w:tbl>
      <w:tblPr>
        <w:tblStyle w:val="10"/>
        <w:tblW w:w="9160" w:type="dxa"/>
        <w:tblInd w:w="11" w:type="dxa"/>
        <w:tblLayout w:type="fixed"/>
        <w:tblCellMar>
          <w:top w:w="0" w:type="dxa"/>
          <w:left w:w="0" w:type="dxa"/>
          <w:bottom w:w="0" w:type="dxa"/>
          <w:right w:w="0" w:type="dxa"/>
        </w:tblCellMar>
      </w:tblPr>
      <w:tblGrid>
        <w:gridCol w:w="1211"/>
        <w:gridCol w:w="7949"/>
      </w:tblGrid>
      <w:tr>
        <w:tblPrEx>
          <w:tblLayout w:type="fixed"/>
          <w:tblCellMar>
            <w:top w:w="0" w:type="dxa"/>
            <w:left w:w="0" w:type="dxa"/>
            <w:bottom w:w="0" w:type="dxa"/>
            <w:right w:w="0" w:type="dxa"/>
          </w:tblCellMar>
        </w:tblPrEx>
        <w:trPr>
          <w:trHeight w:val="525" w:hRule="atLeast"/>
        </w:trPr>
        <w:tc>
          <w:tcPr>
            <w:tcW w:w="1211"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Question 1</w:t>
            </w:r>
          </w:p>
        </w:tc>
        <w:tc>
          <w:tcPr>
            <w:tcW w:w="7949" w:type="dxa"/>
            <w:tcBorders>
              <w:top w:val="single" w:color="auto" w:sz="12" w:space="0"/>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What is Bluetooth transmissions and what are their characteristics?</w:t>
            </w:r>
          </w:p>
        </w:tc>
      </w:tr>
      <w:tr>
        <w:tblPrEx>
          <w:tblLayout w:type="fixed"/>
          <w:tblCellMar>
            <w:top w:w="0" w:type="dxa"/>
            <w:left w:w="0" w:type="dxa"/>
            <w:bottom w:w="0" w:type="dxa"/>
            <w:right w:w="0" w:type="dxa"/>
          </w:tblCellMar>
        </w:tblPrEx>
        <w:trPr>
          <w:trHeight w:val="1168" w:hRule="atLeast"/>
        </w:trPr>
        <w:tc>
          <w:tcPr>
            <w:tcW w:w="1211"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Answering question</w:t>
            </w:r>
          </w:p>
        </w:tc>
        <w:tc>
          <w:tcPr>
            <w:tcW w:w="7949"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sz w:val="18"/>
                <w:szCs w:val="18"/>
              </w:rPr>
              <w:t>1. Bluetooth data transmission refers to any data sent by MCU through serial port. After receiving the Bluetooth chip, it will be forwarded directly to the mobile terminal.</w:t>
            </w:r>
          </w:p>
          <w:p>
            <w:pPr>
              <w:jc w:val="left"/>
            </w:pPr>
            <w:r>
              <w:rPr>
                <w:rStyle w:val="19"/>
                <w:sz w:val="18"/>
                <w:szCs w:val="18"/>
              </w:rPr>
              <w:t>2. At the same time, Bluetooth will send any data to MCU through serial port, through the form of serial port.</w:t>
            </w:r>
          </w:p>
          <w:p>
            <w:pPr>
              <w:jc w:val="left"/>
            </w:pPr>
            <w:r>
              <w:rPr>
                <w:rStyle w:val="19"/>
                <w:b/>
                <w:bCs/>
                <w:sz w:val="18"/>
                <w:szCs w:val="18"/>
              </w:rPr>
              <w:t>3. In our scheme, Bluetooth transmission does not require any instructions or settings.</w:t>
            </w:r>
          </w:p>
        </w:tc>
      </w:tr>
    </w:tbl>
    <w:p>
      <w:pPr>
        <w:jc w:val="left"/>
      </w:pPr>
      <w:r>
        <w:rPr>
          <w:sz w:val="18"/>
          <w:szCs w:val="18"/>
        </w:rPr>
        <w:t> </w:t>
      </w:r>
    </w:p>
    <w:tbl>
      <w:tblPr>
        <w:tblStyle w:val="10"/>
        <w:tblW w:w="9160" w:type="dxa"/>
        <w:tblInd w:w="11" w:type="dxa"/>
        <w:tblLayout w:type="fixed"/>
        <w:tblCellMar>
          <w:top w:w="0" w:type="dxa"/>
          <w:left w:w="0" w:type="dxa"/>
          <w:bottom w:w="0" w:type="dxa"/>
          <w:right w:w="0" w:type="dxa"/>
        </w:tblCellMar>
      </w:tblPr>
      <w:tblGrid>
        <w:gridCol w:w="1211"/>
        <w:gridCol w:w="7949"/>
      </w:tblGrid>
      <w:tr>
        <w:tblPrEx>
          <w:tblLayout w:type="fixed"/>
          <w:tblCellMar>
            <w:top w:w="0" w:type="dxa"/>
            <w:left w:w="0" w:type="dxa"/>
            <w:bottom w:w="0" w:type="dxa"/>
            <w:right w:w="0" w:type="dxa"/>
          </w:tblCellMar>
        </w:tblPrEx>
        <w:trPr>
          <w:trHeight w:val="446" w:hRule="atLeast"/>
        </w:trPr>
        <w:tc>
          <w:tcPr>
            <w:tcW w:w="1211"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Question 2</w:t>
            </w:r>
          </w:p>
        </w:tc>
        <w:tc>
          <w:tcPr>
            <w:tcW w:w="7949" w:type="dxa"/>
            <w:tcBorders>
              <w:top w:val="single" w:color="auto" w:sz="12" w:space="0"/>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How does the chip distinguish AT instructions from transmitted data?</w:t>
            </w:r>
          </w:p>
        </w:tc>
      </w:tr>
      <w:tr>
        <w:tblPrEx>
          <w:tblLayout w:type="fixed"/>
          <w:tblCellMar>
            <w:top w:w="0" w:type="dxa"/>
            <w:left w:w="0" w:type="dxa"/>
            <w:bottom w:w="0" w:type="dxa"/>
            <w:right w:w="0" w:type="dxa"/>
          </w:tblCellMar>
        </w:tblPrEx>
        <w:trPr>
          <w:trHeight w:val="485" w:hRule="atLeast"/>
        </w:trPr>
        <w:tc>
          <w:tcPr>
            <w:tcW w:w="1211" w:type="dxa"/>
            <w:tcBorders>
              <w:top w:val="nil"/>
              <w:left w:val="single" w:color="auto" w:sz="12"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Answering question</w:t>
            </w:r>
          </w:p>
        </w:tc>
        <w:tc>
          <w:tcPr>
            <w:tcW w:w="7949"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1. For instructions sent by MCU, as long as they are not normal AT instructions, we will send them through. Examples are as follows:</w:t>
            </w:r>
          </w:p>
          <w:tbl>
            <w:tblPr>
              <w:tblStyle w:val="10"/>
              <w:tblW w:w="7620" w:type="dxa"/>
              <w:tblInd w:w="0" w:type="dxa"/>
              <w:tblLayout w:type="fixed"/>
              <w:tblCellMar>
                <w:top w:w="0" w:type="dxa"/>
                <w:left w:w="0" w:type="dxa"/>
                <w:bottom w:w="0" w:type="dxa"/>
                <w:right w:w="0" w:type="dxa"/>
              </w:tblCellMar>
            </w:tblPr>
            <w:tblGrid>
              <w:gridCol w:w="2069"/>
              <w:gridCol w:w="5551"/>
            </w:tblGrid>
            <w:tr>
              <w:tblPrEx>
                <w:tblLayout w:type="fixed"/>
                <w:tblCellMar>
                  <w:top w:w="0" w:type="dxa"/>
                  <w:left w:w="0" w:type="dxa"/>
                  <w:bottom w:w="0" w:type="dxa"/>
                  <w:right w:w="0" w:type="dxa"/>
                </w:tblCellMar>
              </w:tblPrEx>
              <w:trPr>
                <w:trHeight w:val="229" w:hRule="atLeast"/>
              </w:trPr>
              <w:tc>
                <w:tcPr>
                  <w:tcW w:w="2069" w:type="dxa"/>
                  <w:tcBorders>
                    <w:top w:val="single" w:color="auto" w:sz="12" w:space="0"/>
                    <w:left w:val="single" w:color="auto" w:sz="8"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Data sent by MCU</w:t>
                  </w:r>
                </w:p>
              </w:tc>
              <w:tc>
                <w:tcPr>
                  <w:tcW w:w="5551" w:type="dxa"/>
                  <w:tcBorders>
                    <w:top w:val="single" w:color="auto" w:sz="12" w:space="0"/>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Explain</w:t>
                  </w:r>
                </w:p>
              </w:tc>
            </w:tr>
            <w:tr>
              <w:tblPrEx>
                <w:tblLayout w:type="fixed"/>
                <w:tblCellMar>
                  <w:top w:w="0" w:type="dxa"/>
                  <w:left w:w="0" w:type="dxa"/>
                  <w:bottom w:w="0" w:type="dxa"/>
                  <w:right w:w="0" w:type="dxa"/>
                </w:tblCellMar>
              </w:tblPrEx>
              <w:trPr>
                <w:trHeight w:val="432" w:hRule="atLeast"/>
              </w:trPr>
              <w:tc>
                <w:tcPr>
                  <w:tcW w:w="2069" w:type="dxa"/>
                  <w:tcBorders>
                    <w:top w:val="nil"/>
                    <w:left w:val="single" w:color="auto" w:sz="8"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AT+CM00\r\n</w:t>
                  </w:r>
                </w:p>
              </w:tc>
              <w:tc>
                <w:tcPr>
                  <w:tcW w:w="5551"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b/>
                      <w:bCs/>
                      <w:sz w:val="18"/>
                      <w:szCs w:val="18"/>
                    </w:rPr>
                    <w:t>This is the normal AT command, which will not be transmitted out.It will be dealt with directly.</w:t>
                  </w:r>
                </w:p>
              </w:tc>
            </w:tr>
            <w:tr>
              <w:tblPrEx>
                <w:tblLayout w:type="fixed"/>
                <w:tblCellMar>
                  <w:top w:w="0" w:type="dxa"/>
                  <w:left w:w="0" w:type="dxa"/>
                  <w:bottom w:w="0" w:type="dxa"/>
                  <w:right w:w="0" w:type="dxa"/>
                </w:tblCellMar>
              </w:tblPrEx>
              <w:trPr>
                <w:trHeight w:val="432" w:hRule="atLeast"/>
              </w:trPr>
              <w:tc>
                <w:tcPr>
                  <w:tcW w:w="2069" w:type="dxa"/>
                  <w:tcBorders>
                    <w:top w:val="nil"/>
                    <w:left w:val="single" w:color="auto" w:sz="8"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AT+CM00</w:t>
                  </w:r>
                </w:p>
              </w:tc>
              <w:tc>
                <w:tcPr>
                  <w:tcW w:w="5551"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This is an abnormal order, which will be transmitted out, because there is no line change.</w:t>
                  </w:r>
                </w:p>
              </w:tc>
            </w:tr>
            <w:tr>
              <w:tblPrEx>
                <w:tblLayout w:type="fixed"/>
                <w:tblCellMar>
                  <w:top w:w="0" w:type="dxa"/>
                  <w:left w:w="0" w:type="dxa"/>
                  <w:bottom w:w="0" w:type="dxa"/>
                  <w:right w:w="0" w:type="dxa"/>
                </w:tblCellMar>
              </w:tblPrEx>
              <w:trPr>
                <w:trHeight w:val="432" w:hRule="atLeast"/>
              </w:trPr>
              <w:tc>
                <w:tcPr>
                  <w:tcW w:w="2069" w:type="dxa"/>
                  <w:tcBorders>
                    <w:top w:val="nil"/>
                    <w:left w:val="single" w:color="auto" w:sz="8"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color w:val="FF0000"/>
                      <w:sz w:val="18"/>
                      <w:szCs w:val="18"/>
                    </w:rPr>
                    <w:t>KT+CM00\r\n</w:t>
                  </w:r>
                </w:p>
              </w:tc>
              <w:tc>
                <w:tcPr>
                  <w:tcW w:w="5551"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This will also be transmitted because it is not the beginning of the AT command.</w:t>
                  </w:r>
                </w:p>
              </w:tc>
            </w:tr>
            <w:tr>
              <w:tblPrEx>
                <w:tblLayout w:type="fixed"/>
                <w:tblCellMar>
                  <w:top w:w="0" w:type="dxa"/>
                  <w:left w:w="0" w:type="dxa"/>
                  <w:bottom w:w="0" w:type="dxa"/>
                  <w:right w:w="0" w:type="dxa"/>
                </w:tblCellMar>
              </w:tblPrEx>
              <w:trPr>
                <w:trHeight w:val="636" w:hRule="atLeast"/>
              </w:trPr>
              <w:tc>
                <w:tcPr>
                  <w:tcW w:w="2069" w:type="dxa"/>
                  <w:tcBorders>
                    <w:top w:val="nil"/>
                    <w:left w:val="single" w:color="auto" w:sz="8" w:space="0"/>
                    <w:bottom w:val="single" w:color="auto" w:sz="12" w:space="0"/>
                    <w:right w:val="single" w:color="auto" w:sz="12" w:space="0"/>
                  </w:tcBorders>
                  <w:tcMar>
                    <w:top w:w="0" w:type="dxa"/>
                    <w:left w:w="108" w:type="dxa"/>
                    <w:bottom w:w="0" w:type="dxa"/>
                    <w:right w:w="108" w:type="dxa"/>
                  </w:tcMar>
                </w:tcPr>
                <w:p>
                  <w:pPr>
                    <w:jc w:val="left"/>
                  </w:pPr>
                  <w:r>
                    <w:rPr>
                      <w:rFonts w:hint="eastAsia" w:ascii="宋体" w:hAnsi="宋体"/>
                      <w:color w:val="FF0000"/>
                      <w:sz w:val="18"/>
                      <w:szCs w:val="18"/>
                    </w:rPr>
                    <w:t>1234</w:t>
                  </w:r>
                  <w:r>
                    <w:rPr>
                      <w:rStyle w:val="19"/>
                      <w:rFonts w:hint="eastAsia" w:ascii="宋体" w:hAnsi="宋体"/>
                      <w:sz w:val="18"/>
                      <w:szCs w:val="18"/>
                    </w:rPr>
                    <w:t>AT+CM00\r\n</w:t>
                  </w:r>
                </w:p>
              </w:tc>
              <w:tc>
                <w:tcPr>
                  <w:tcW w:w="5551"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This will also be transmitted, because his initial data is not the AT beginning.AT&amp;apos;s instructions are only in the middle, so they will be transmitted.</w:t>
                  </w:r>
                </w:p>
              </w:tc>
            </w:tr>
            <w:tr>
              <w:tblPrEx>
                <w:tblLayout w:type="fixed"/>
                <w:tblCellMar>
                  <w:top w:w="0" w:type="dxa"/>
                  <w:left w:w="0" w:type="dxa"/>
                  <w:bottom w:w="0" w:type="dxa"/>
                  <w:right w:w="0" w:type="dxa"/>
                </w:tblCellMar>
              </w:tblPrEx>
              <w:trPr>
                <w:trHeight w:val="458" w:hRule="atLeast"/>
              </w:trPr>
              <w:tc>
                <w:tcPr>
                  <w:tcW w:w="2069" w:type="dxa"/>
                  <w:tcBorders>
                    <w:top w:val="nil"/>
                    <w:left w:val="single" w:color="auto" w:sz="8" w:space="0"/>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12121212121212kkk</w:t>
                  </w:r>
                </w:p>
              </w:tc>
              <w:tc>
                <w:tcPr>
                  <w:tcW w:w="5551" w:type="dxa"/>
                  <w:tcBorders>
                    <w:top w:val="nil"/>
                    <w:left w:val="nil"/>
                    <w:bottom w:val="single" w:color="auto" w:sz="12" w:space="0"/>
                    <w:right w:val="single" w:color="auto" w:sz="12" w:space="0"/>
                  </w:tcBorders>
                  <w:tcMar>
                    <w:top w:w="0" w:type="dxa"/>
                    <w:left w:w="108" w:type="dxa"/>
                    <w:bottom w:w="0" w:type="dxa"/>
                    <w:right w:w="108" w:type="dxa"/>
                  </w:tcMar>
                </w:tcPr>
                <w:p>
                  <w:pPr>
                    <w:jc w:val="left"/>
                  </w:pPr>
                  <w:r>
                    <w:rPr>
                      <w:rStyle w:val="19"/>
                      <w:rFonts w:hint="eastAsia" w:ascii="宋体" w:hAnsi="宋体"/>
                      <w:sz w:val="18"/>
                      <w:szCs w:val="18"/>
                    </w:rPr>
                    <w:t>This is pure data transmission, so it will be transmitted to the mobile phone.</w:t>
                  </w:r>
                </w:p>
              </w:tc>
            </w:tr>
          </w:tbl>
          <w:p>
            <w:pPr>
              <w:jc w:val="left"/>
            </w:pPr>
            <w:r>
              <w:rPr>
                <w:rStyle w:val="19"/>
                <w:rFonts w:hint="eastAsia" w:ascii="宋体" w:hAnsi="宋体"/>
                <w:sz w:val="18"/>
                <w:szCs w:val="18"/>
              </w:rPr>
              <w:t>As for the transmitted data, how to deal with it is left to the wise to play it freely.</w:t>
            </w:r>
          </w:p>
          <w:p>
            <w:pPr>
              <w:jc w:val="left"/>
            </w:pPr>
            <w:r>
              <w:rPr>
                <w:rFonts w:hint="eastAsia" w:ascii="宋体" w:hAnsi="宋体"/>
                <w:sz w:val="18"/>
                <w:szCs w:val="18"/>
              </w:rPr>
              <w:t> </w:t>
            </w:r>
          </w:p>
          <w:p>
            <w:pPr>
              <w:jc w:val="left"/>
            </w:pPr>
            <w:r>
              <w:rPr>
                <w:rStyle w:val="19"/>
                <w:rFonts w:hint="eastAsia" w:ascii="宋体" w:hAnsi="宋体"/>
                <w:b/>
                <w:bCs/>
                <w:sz w:val="18"/>
                <w:szCs w:val="18"/>
              </w:rPr>
              <w:t>2. It&amp;apos;s easier to understand the instructions sent on the mobile phone - - SPP legend</w:t>
            </w:r>
          </w:p>
          <w:p>
            <w:pPr>
              <w:jc w:val="left"/>
            </w:pPr>
            <w:r>
              <w:rPr>
                <w:rStyle w:val="19"/>
                <w:rFonts w:hint="eastAsia" w:ascii="宋体" w:hAnsi="宋体"/>
                <w:b/>
                <w:bCs/>
                <w:sz w:val="18"/>
                <w:szCs w:val="18"/>
              </w:rPr>
              <w:t>(1) Any instruction is transmitted through.Even the normal instructions sent by the mobile terminal are transmitted through the phone.</w:t>
            </w:r>
            <w:r>
              <w:rPr>
                <w:rStyle w:val="19"/>
                <w:rFonts w:hint="eastAsia" w:ascii="宋体" w:hAnsi="宋体"/>
                <w:sz w:val="18"/>
                <w:szCs w:val="18"/>
              </w:rPr>
              <w:t>AT+CM00\r\n</w:t>
            </w:r>
          </w:p>
          <w:p>
            <w:pPr>
              <w:jc w:val="left"/>
            </w:pPr>
            <w:r>
              <w:rPr>
                <w:rStyle w:val="19"/>
                <w:rFonts w:hint="eastAsia" w:ascii="宋体" w:hAnsi="宋体"/>
                <w:b/>
                <w:bCs/>
                <w:sz w:val="18"/>
                <w:szCs w:val="18"/>
              </w:rPr>
              <w:t>When Bluetooth chip is received, it will not be processed. It will only be exported to MCU through serial port.</w:t>
            </w:r>
          </w:p>
          <w:p>
            <w:pPr>
              <w:jc w:val="left"/>
            </w:pPr>
            <w:r>
              <w:rPr>
                <w:rFonts w:hint="eastAsia" w:ascii="宋体" w:hAnsi="宋体"/>
                <w:b/>
                <w:bCs/>
                <w:sz w:val="18"/>
                <w:szCs w:val="18"/>
              </w:rPr>
              <w:t> </w:t>
            </w:r>
          </w:p>
          <w:p>
            <w:pPr>
              <w:jc w:val="left"/>
            </w:pPr>
            <w:r>
              <w:rPr>
                <w:rStyle w:val="19"/>
                <w:rFonts w:hint="eastAsia" w:ascii="宋体" w:hAnsi="宋体"/>
                <w:b/>
                <w:bCs/>
                <w:sz w:val="18"/>
                <w:szCs w:val="18"/>
              </w:rPr>
              <w:t>3. It&amp;apos;s easier to understand the instructions sent by mobile phone-BLE Legend</w:t>
            </w:r>
          </w:p>
          <w:p>
            <w:pPr>
              <w:jc w:val="left"/>
            </w:pPr>
            <w:r>
              <w:rPr>
                <w:rStyle w:val="19"/>
                <w:rFonts w:hint="eastAsia" w:ascii="宋体" w:hAnsi="宋体"/>
                <w:b/>
                <w:bCs/>
                <w:sz w:val="18"/>
                <w:szCs w:val="18"/>
              </w:rPr>
              <w:t>(1), BLE here is slightly different from SPP, we give three signatures.The first two are complete transmissions, as detailed in Chapter 7.5.</w:t>
            </w:r>
          </w:p>
          <w:p>
            <w:pPr>
              <w:jc w:val="left"/>
            </w:pPr>
            <w:r>
              <w:rPr>
                <w:rFonts w:ascii="宋体" w:hAnsi="宋体"/>
                <w:sz w:val="18"/>
                <w:szCs w:val="18"/>
              </w:rPr>
              <w:drawing>
                <wp:inline distT="0" distB="0" distL="0" distR="0">
                  <wp:extent cx="3990975" cy="1266825"/>
                  <wp:effectExtent l="0" t="0" r="9525" b="9525"/>
                  <wp:docPr id="1" name="图片 3" descr="D:\document\convert_tasks\transweb\1603753_1615828\1603753.doc.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D:\document\convert_tasks\transweb\1603753_1615828\1603753.doc.files\image001.jp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a:xfrm>
                            <a:off x="0" y="0"/>
                            <a:ext cx="3990975" cy="1266825"/>
                          </a:xfrm>
                          <a:prstGeom prst="rect">
                            <a:avLst/>
                          </a:prstGeom>
                          <a:noFill/>
                          <a:ln>
                            <a:noFill/>
                          </a:ln>
                        </pic:spPr>
                      </pic:pic>
                    </a:graphicData>
                  </a:graphic>
                </wp:inline>
              </w:drawing>
            </w:r>
          </w:p>
          <w:p>
            <w:pPr>
              <w:jc w:val="left"/>
            </w:pPr>
            <w:r>
              <w:rPr>
                <w:rFonts w:hint="eastAsia" w:ascii="宋体" w:hAnsi="宋体"/>
                <w:b/>
                <w:bCs/>
                <w:sz w:val="18"/>
                <w:szCs w:val="18"/>
              </w:rPr>
              <w:t> </w:t>
            </w:r>
          </w:p>
        </w:tc>
      </w:tr>
    </w:tbl>
    <w:p>
      <w:pPr>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F34E0A"/>
    <w:rsid w:val="00C075EC"/>
    <w:rsid w:val="00F34E0A"/>
    <w:rsid w:val="44843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uiPriority w:val="39"/>
  </w:style>
  <w:style w:type="paragraph" w:styleId="9">
    <w:name w:val="toc 2"/>
    <w:basedOn w:val="1"/>
    <w:next w:val="1"/>
    <w:semiHidden/>
    <w:unhideWhenUsed/>
    <w:uiPriority w:val="39"/>
    <w:pPr>
      <w:ind w:left="420"/>
    </w:pPr>
  </w:style>
  <w:style w:type="character" w:customStyle="1" w:styleId="12">
    <w:name w:val="标题 1 字符"/>
    <w:basedOn w:val="11"/>
    <w:link w:val="2"/>
    <w:uiPriority w:val="9"/>
    <w:rPr>
      <w:rFonts w:ascii="Calibri" w:hAnsi="Calibri" w:eastAsia="宋体" w:cs="宋体"/>
      <w:b/>
      <w:bCs/>
      <w:kern w:val="44"/>
      <w:sz w:val="44"/>
      <w:szCs w:val="44"/>
    </w:rPr>
  </w:style>
  <w:style w:type="character" w:customStyle="1" w:styleId="13">
    <w:name w:val="标题 2 字符"/>
    <w:basedOn w:val="11"/>
    <w:link w:val="3"/>
    <w:semiHidden/>
    <w:qFormat/>
    <w:uiPriority w:val="9"/>
    <w:rPr>
      <w:rFonts w:hint="default" w:ascii="Arial" w:hAnsi="Arial" w:cs="Arial"/>
      <w:b/>
      <w:bCs/>
    </w:rPr>
  </w:style>
  <w:style w:type="character" w:customStyle="1" w:styleId="14">
    <w:name w:val="标题 3 字符"/>
    <w:basedOn w:val="11"/>
    <w:link w:val="4"/>
    <w:semiHidden/>
    <w:uiPriority w:val="9"/>
    <w:rPr>
      <w:rFonts w:ascii="Calibri" w:hAnsi="Calibri" w:eastAsia="宋体" w:cs="宋体"/>
      <w:b/>
      <w:bCs/>
      <w:sz w:val="32"/>
      <w:szCs w:val="32"/>
    </w:rPr>
  </w:style>
  <w:style w:type="paragraph" w:customStyle="1" w:styleId="15">
    <w:name w:val="msonormal"/>
    <w:basedOn w:val="1"/>
    <w:qFormat/>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ascii="Calibri" w:hAnsi="Calibri" w:eastAsia="宋体" w:cs="宋体"/>
      <w:sz w:val="18"/>
      <w:szCs w:val="18"/>
    </w:rPr>
  </w:style>
  <w:style w:type="character" w:customStyle="1" w:styleId="17">
    <w:name w:val="页脚 字符"/>
    <w:basedOn w:val="11"/>
    <w:link w:val="6"/>
    <w:semiHidden/>
    <w:qFormat/>
    <w:uiPriority w:val="99"/>
    <w:rPr>
      <w:rFonts w:ascii="Calibri" w:hAnsi="Calibri"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character" w:customStyle="1" w:styleId="19">
    <w:name w:val="translated-span"/>
    <w:basedOn w:val="1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D:\document\convert_tasks\transweb\1603753_1615828\1603753.doc.files\image00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359</Words>
  <Characters>2050</Characters>
  <Lines>17</Lines>
  <Paragraphs>4</Paragraphs>
  <TotalTime>1</TotalTime>
  <ScaleCrop>false</ScaleCrop>
  <LinksUpToDate>false</LinksUpToDate>
  <CharactersWithSpaces>2405</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2019-07-11T10:26:00Z</dcterms:created>
  <dc:creator>Administrator</dc:creator>
  <cp:lastModifiedBy>莺子</cp:lastModifiedBy>
  <dcterms:modified xsi:type="dcterms:W3CDTF">2019-07-11T11:23:40Z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